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333DF" w14:textId="77777777" w:rsidR="00747435" w:rsidRPr="00747435" w:rsidRDefault="00747435" w:rsidP="00747435">
      <w:pPr>
        <w:jc w:val="both"/>
        <w:rPr>
          <w:rFonts w:ascii="Times New Roman" w:hAnsi="Times New Roman" w:cs="Times New Roman"/>
          <w:b/>
        </w:rPr>
      </w:pPr>
      <w:r w:rsidRPr="00747435">
        <w:rPr>
          <w:rFonts w:ascii="Times New Roman" w:hAnsi="Times New Roman" w:cs="Times New Roman"/>
          <w:b/>
        </w:rPr>
        <w:t xml:space="preserve">Sabato 27 agosto. Lectio agostana. (Rom. 14, 1-13). </w:t>
      </w:r>
    </w:p>
    <w:p w14:paraId="4459C3E9" w14:textId="77777777" w:rsidR="00747435" w:rsidRPr="00747435" w:rsidRDefault="00747435" w:rsidP="00747435">
      <w:pPr>
        <w:jc w:val="both"/>
        <w:rPr>
          <w:rFonts w:ascii="Times New Roman" w:hAnsi="Times New Roman" w:cs="Times New Roman"/>
          <w:b/>
        </w:rPr>
      </w:pPr>
      <w:r w:rsidRPr="00747435">
        <w:rPr>
          <w:rFonts w:ascii="Times New Roman" w:hAnsi="Times New Roman" w:cs="Times New Roman"/>
          <w:b/>
        </w:rPr>
        <w:t>Chi sei tu, che giudichi un servo che non è tuo? Stia in piedi o cada, ciò riguarda il suo padrone</w:t>
      </w:r>
      <w:r>
        <w:rPr>
          <w:rFonts w:ascii="Times New Roman" w:hAnsi="Times New Roman" w:cs="Times New Roman"/>
          <w:b/>
        </w:rPr>
        <w:t>.</w:t>
      </w:r>
    </w:p>
    <w:p w14:paraId="42BD8993" w14:textId="77777777" w:rsidR="00747435" w:rsidRPr="00747435" w:rsidRDefault="00747435" w:rsidP="00747435">
      <w:pPr>
        <w:jc w:val="both"/>
        <w:rPr>
          <w:rFonts w:ascii="Times New Roman" w:hAnsi="Times New Roman" w:cs="Times New Roman"/>
        </w:rPr>
      </w:pPr>
    </w:p>
    <w:p w14:paraId="7C53B4A0" w14:textId="77777777" w:rsidR="00747435" w:rsidRDefault="00747435" w:rsidP="00747435">
      <w:pPr>
        <w:jc w:val="both"/>
      </w:pPr>
      <w:r w:rsidRPr="00747435">
        <w:rPr>
          <w:rFonts w:ascii="Times New Roman" w:hAnsi="Times New Roman" w:cs="Times New Roman"/>
        </w:rPr>
        <w:t>Parte seconda (12,1-15,13): La componente etica dell’identità cristiana.</w:t>
      </w:r>
      <w:r w:rsidRPr="00747435">
        <w:t xml:space="preserve"> </w:t>
      </w:r>
    </w:p>
    <w:p w14:paraId="3245515E" w14:textId="77777777" w:rsidR="00747435" w:rsidRPr="00747435" w:rsidRDefault="00747435" w:rsidP="00747435">
      <w:pPr>
        <w:jc w:val="both"/>
        <w:rPr>
          <w:rFonts w:ascii="Times New Roman" w:hAnsi="Times New Roman" w:cs="Times New Roman"/>
        </w:rPr>
      </w:pPr>
      <w:r w:rsidRPr="00747435">
        <w:rPr>
          <w:rFonts w:ascii="Times New Roman" w:hAnsi="Times New Roman" w:cs="Times New Roman"/>
        </w:rPr>
        <w:t>Tema generale: esortazione a trarre adeguate conseguenze etiche dall’essere nuova creatura (12,1-2)</w:t>
      </w:r>
    </w:p>
    <w:p w14:paraId="284F44B6" w14:textId="77777777" w:rsidR="00747435" w:rsidRDefault="00747435" w:rsidP="00747435">
      <w:pPr>
        <w:jc w:val="both"/>
        <w:rPr>
          <w:rFonts w:ascii="Times New Roman" w:hAnsi="Times New Roman" w:cs="Times New Roman"/>
        </w:rPr>
      </w:pPr>
    </w:p>
    <w:p w14:paraId="040BD17D" w14:textId="77777777" w:rsidR="00747435" w:rsidRPr="00747435" w:rsidRDefault="00747435" w:rsidP="00747435">
      <w:pPr>
        <w:jc w:val="both"/>
        <w:rPr>
          <w:rFonts w:ascii="Times New Roman" w:hAnsi="Times New Roman" w:cs="Times New Roman"/>
        </w:rPr>
      </w:pPr>
      <w:r w:rsidRPr="00747435">
        <w:rPr>
          <w:rFonts w:ascii="Times New Roman" w:hAnsi="Times New Roman" w:cs="Times New Roman"/>
        </w:rPr>
        <w:t>I°. Criterio dell’etica cristiana: L’Agape. (12,3-13,14)</w:t>
      </w:r>
    </w:p>
    <w:p w14:paraId="547053F1" w14:textId="77777777" w:rsidR="00747435" w:rsidRPr="00747435" w:rsidRDefault="00747435" w:rsidP="00747435">
      <w:pPr>
        <w:jc w:val="both"/>
        <w:rPr>
          <w:rFonts w:ascii="Times New Roman" w:hAnsi="Times New Roman" w:cs="Times New Roman"/>
          <w:color w:val="FF0000"/>
        </w:rPr>
      </w:pPr>
      <w:r w:rsidRPr="00747435">
        <w:rPr>
          <w:rFonts w:ascii="Times New Roman" w:hAnsi="Times New Roman" w:cs="Times New Roman"/>
          <w:color w:val="FF0000"/>
        </w:rPr>
        <w:t>II° Caso particolare: rapporto deboli/forti (14,1-15,12)</w:t>
      </w:r>
    </w:p>
    <w:p w14:paraId="745132D8" w14:textId="77777777" w:rsidR="00747435" w:rsidRPr="00747435" w:rsidRDefault="00747435" w:rsidP="00747435">
      <w:pPr>
        <w:jc w:val="both"/>
        <w:rPr>
          <w:rFonts w:ascii="Times New Roman" w:hAnsi="Times New Roman" w:cs="Times New Roman"/>
        </w:rPr>
      </w:pPr>
    </w:p>
    <w:p w14:paraId="6A1870B1" w14:textId="77777777" w:rsidR="00747435" w:rsidRPr="00747435" w:rsidRDefault="00747435" w:rsidP="00747435">
      <w:pPr>
        <w:jc w:val="both"/>
        <w:rPr>
          <w:rFonts w:ascii="Times New Roman" w:hAnsi="Times New Roman" w:cs="Times New Roman"/>
        </w:rPr>
      </w:pPr>
      <w:r w:rsidRPr="00747435">
        <w:rPr>
          <w:rFonts w:ascii="Times New Roman" w:hAnsi="Times New Roman" w:cs="Times New Roman"/>
        </w:rPr>
        <w:t xml:space="preserve">Raccomandazioni finali e dossologia conclusiva: Rom.15.13-16,27 </w:t>
      </w:r>
    </w:p>
    <w:p w14:paraId="46A8299E" w14:textId="77777777" w:rsidR="00747435" w:rsidRPr="00747435" w:rsidRDefault="00747435" w:rsidP="00747435">
      <w:pPr>
        <w:jc w:val="both"/>
        <w:rPr>
          <w:rFonts w:ascii="Times New Roman" w:hAnsi="Times New Roman" w:cs="Times New Roman"/>
        </w:rPr>
      </w:pPr>
      <w:r w:rsidRPr="00747435">
        <w:rPr>
          <w:rFonts w:ascii="Times New Roman" w:hAnsi="Times New Roman" w:cs="Times New Roman"/>
        </w:rPr>
        <w:t>&gt;Augurio (15,13)</w:t>
      </w:r>
    </w:p>
    <w:p w14:paraId="3C515AC8" w14:textId="77777777" w:rsidR="00747435" w:rsidRPr="00747435" w:rsidRDefault="00747435" w:rsidP="00747435">
      <w:pPr>
        <w:jc w:val="both"/>
        <w:rPr>
          <w:rFonts w:ascii="Times New Roman" w:hAnsi="Times New Roman" w:cs="Times New Roman"/>
        </w:rPr>
      </w:pPr>
      <w:r w:rsidRPr="00747435">
        <w:rPr>
          <w:rFonts w:ascii="Times New Roman" w:hAnsi="Times New Roman" w:cs="Times New Roman"/>
        </w:rPr>
        <w:t>&gt;Situazione personale di P. (15,14-33)</w:t>
      </w:r>
    </w:p>
    <w:p w14:paraId="18146FF8" w14:textId="77777777" w:rsidR="00747435" w:rsidRPr="00747435" w:rsidRDefault="00747435" w:rsidP="00747435">
      <w:pPr>
        <w:jc w:val="both"/>
        <w:rPr>
          <w:rFonts w:ascii="Times New Roman" w:hAnsi="Times New Roman" w:cs="Times New Roman"/>
        </w:rPr>
      </w:pPr>
      <w:r w:rsidRPr="00747435">
        <w:rPr>
          <w:rFonts w:ascii="Times New Roman" w:hAnsi="Times New Roman" w:cs="Times New Roman"/>
        </w:rPr>
        <w:t>&gt;Raccomandazione di Febe (16,1-2)</w:t>
      </w:r>
    </w:p>
    <w:p w14:paraId="6318313E" w14:textId="77777777" w:rsidR="00747435" w:rsidRPr="00747435" w:rsidRDefault="00747435" w:rsidP="00747435">
      <w:pPr>
        <w:jc w:val="both"/>
        <w:rPr>
          <w:rFonts w:ascii="Times New Roman" w:hAnsi="Times New Roman" w:cs="Times New Roman"/>
        </w:rPr>
      </w:pPr>
      <w:r w:rsidRPr="00747435">
        <w:rPr>
          <w:rFonts w:ascii="Times New Roman" w:hAnsi="Times New Roman" w:cs="Times New Roman"/>
        </w:rPr>
        <w:t>&gt;Saluti finali (16,3-23)</w:t>
      </w:r>
    </w:p>
    <w:p w14:paraId="3226018C" w14:textId="77777777" w:rsidR="00146BEB" w:rsidRDefault="00747435" w:rsidP="00747435">
      <w:pPr>
        <w:jc w:val="both"/>
        <w:rPr>
          <w:rFonts w:ascii="Times New Roman" w:hAnsi="Times New Roman" w:cs="Times New Roman"/>
        </w:rPr>
      </w:pPr>
      <w:r w:rsidRPr="00747435">
        <w:rPr>
          <w:rFonts w:ascii="Times New Roman" w:hAnsi="Times New Roman" w:cs="Times New Roman"/>
        </w:rPr>
        <w:t>&gt;Dossologia (16,25-27)</w:t>
      </w:r>
    </w:p>
    <w:p w14:paraId="77163285" w14:textId="77777777" w:rsidR="00747435" w:rsidRDefault="00747435" w:rsidP="00747435">
      <w:pPr>
        <w:jc w:val="both"/>
        <w:rPr>
          <w:rFonts w:ascii="Times New Roman" w:hAnsi="Times New Roman" w:cs="Times New Roman"/>
        </w:rPr>
      </w:pPr>
    </w:p>
    <w:p w14:paraId="299D1047" w14:textId="77777777" w:rsidR="00747435" w:rsidRPr="00747435" w:rsidRDefault="00747435" w:rsidP="00747435">
      <w:pPr>
        <w:jc w:val="both"/>
        <w:rPr>
          <w:rFonts w:ascii="Times New Roman" w:hAnsi="Times New Roman" w:cs="Times New Roman"/>
          <w:i/>
        </w:rPr>
      </w:pPr>
      <w:r w:rsidRPr="00747435">
        <w:rPr>
          <w:rFonts w:ascii="Times New Roman" w:hAnsi="Times New Roman" w:cs="Times New Roman"/>
          <w:i/>
        </w:rPr>
        <w:t xml:space="preserve">1 </w:t>
      </w:r>
      <w:r w:rsidRPr="00747435">
        <w:rPr>
          <w:rFonts w:ascii="Times New Roman" w:hAnsi="Times New Roman" w:cs="Times New Roman"/>
          <w:i/>
          <w:u w:val="single"/>
        </w:rPr>
        <w:t>Accogliete chi è debole nella fede, senza discuterne le opinioni</w:t>
      </w:r>
      <w:r w:rsidRPr="00747435">
        <w:rPr>
          <w:rFonts w:ascii="Times New Roman" w:hAnsi="Times New Roman" w:cs="Times New Roman"/>
          <w:i/>
        </w:rPr>
        <w:t>. 2</w:t>
      </w:r>
      <w:r>
        <w:rPr>
          <w:rFonts w:ascii="Times New Roman" w:hAnsi="Times New Roman" w:cs="Times New Roman"/>
          <w:i/>
        </w:rPr>
        <w:t xml:space="preserve"> </w:t>
      </w:r>
      <w:r w:rsidRPr="00747435">
        <w:rPr>
          <w:rFonts w:ascii="Times New Roman" w:hAnsi="Times New Roman" w:cs="Times New Roman"/>
          <w:i/>
        </w:rPr>
        <w:t>Uno crede di poter mangiare di tutto; l'altro, che invece è debole, mangia solo legumi. 3</w:t>
      </w:r>
      <w:r>
        <w:rPr>
          <w:rFonts w:ascii="Times New Roman" w:hAnsi="Times New Roman" w:cs="Times New Roman"/>
          <w:i/>
        </w:rPr>
        <w:t xml:space="preserve"> </w:t>
      </w:r>
      <w:r w:rsidRPr="00747435">
        <w:rPr>
          <w:rFonts w:ascii="Times New Roman" w:hAnsi="Times New Roman" w:cs="Times New Roman"/>
          <w:i/>
        </w:rPr>
        <w:t>Colui che mangia, non disprezzi chi non mangia; colui che non mangia, non giudichi chi mangia: infatti Dio ha accolto anche lui. 4</w:t>
      </w:r>
      <w:r>
        <w:rPr>
          <w:rFonts w:ascii="Times New Roman" w:hAnsi="Times New Roman" w:cs="Times New Roman"/>
          <w:i/>
        </w:rPr>
        <w:t xml:space="preserve"> </w:t>
      </w:r>
      <w:r w:rsidRPr="00747435">
        <w:rPr>
          <w:rFonts w:ascii="Times New Roman" w:hAnsi="Times New Roman" w:cs="Times New Roman"/>
          <w:i/>
          <w:u w:val="single"/>
        </w:rPr>
        <w:t>Chi sei tu, che giudichi un servo che non è tuo? Stia in piedi o cada, ciò riguarda il suo padrone. Ma starà in piedi, perché il Signore ha il potere di tenerlo in piedi.</w:t>
      </w:r>
    </w:p>
    <w:p w14:paraId="0986464B" w14:textId="77777777" w:rsidR="00747435" w:rsidRPr="00747435" w:rsidRDefault="00747435" w:rsidP="00747435">
      <w:pPr>
        <w:jc w:val="both"/>
        <w:rPr>
          <w:rFonts w:ascii="Times New Roman" w:hAnsi="Times New Roman" w:cs="Times New Roman"/>
          <w:i/>
        </w:rPr>
      </w:pPr>
      <w:r w:rsidRPr="00747435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</w:t>
      </w:r>
      <w:r w:rsidRPr="00747435">
        <w:rPr>
          <w:rFonts w:ascii="Times New Roman" w:hAnsi="Times New Roman" w:cs="Times New Roman"/>
          <w:i/>
        </w:rPr>
        <w:t>C'è chi distingue giorno da giorno, chi invece li giudica tutti uguali; ciascuno però sia fermo nella propria convinzione. 6</w:t>
      </w:r>
      <w:r>
        <w:rPr>
          <w:rFonts w:ascii="Times New Roman" w:hAnsi="Times New Roman" w:cs="Times New Roman"/>
          <w:i/>
        </w:rPr>
        <w:t xml:space="preserve"> </w:t>
      </w:r>
      <w:r w:rsidRPr="00747435">
        <w:rPr>
          <w:rFonts w:ascii="Times New Roman" w:hAnsi="Times New Roman" w:cs="Times New Roman"/>
          <w:i/>
        </w:rPr>
        <w:t>Chi si preoccupa dei giorni, lo fa per il Signore; chi mangia di tutto, mangia per il Signore, dal momento che rende grazie a Dio; chi non mangia di tutto, non mangia per il Signore e rende grazie a Dio. 7</w:t>
      </w:r>
      <w:r>
        <w:rPr>
          <w:rFonts w:ascii="Times New Roman" w:hAnsi="Times New Roman" w:cs="Times New Roman"/>
          <w:i/>
        </w:rPr>
        <w:t xml:space="preserve"> </w:t>
      </w:r>
      <w:r w:rsidRPr="00747435">
        <w:rPr>
          <w:rFonts w:ascii="Times New Roman" w:hAnsi="Times New Roman" w:cs="Times New Roman"/>
          <w:i/>
          <w:u w:val="single"/>
        </w:rPr>
        <w:t>Nessuno di noi, infatti, vive per se stesso e nessuno muore per se stesso</w:t>
      </w:r>
      <w:r w:rsidRPr="00747435">
        <w:rPr>
          <w:rFonts w:ascii="Times New Roman" w:hAnsi="Times New Roman" w:cs="Times New Roman"/>
          <w:i/>
        </w:rPr>
        <w:t>, 8</w:t>
      </w:r>
      <w:r w:rsidR="00030981">
        <w:rPr>
          <w:rFonts w:ascii="Times New Roman" w:hAnsi="Times New Roman" w:cs="Times New Roman"/>
          <w:i/>
        </w:rPr>
        <w:t xml:space="preserve"> </w:t>
      </w:r>
      <w:r w:rsidRPr="00747435">
        <w:rPr>
          <w:rFonts w:ascii="Times New Roman" w:hAnsi="Times New Roman" w:cs="Times New Roman"/>
          <w:i/>
        </w:rPr>
        <w:t xml:space="preserve">perché se noi viviamo, viviamo per il Signore, se noi moriamo, moriamo per il Signore. </w:t>
      </w:r>
      <w:r w:rsidRPr="00747435">
        <w:rPr>
          <w:rFonts w:ascii="Times New Roman" w:hAnsi="Times New Roman" w:cs="Times New Roman"/>
          <w:i/>
          <w:u w:val="single"/>
        </w:rPr>
        <w:t>Sia che viviamo, sia che moriamo, siamo del Signore.</w:t>
      </w:r>
      <w:r w:rsidRPr="00747435">
        <w:rPr>
          <w:rFonts w:ascii="Times New Roman" w:hAnsi="Times New Roman" w:cs="Times New Roman"/>
          <w:i/>
        </w:rPr>
        <w:t xml:space="preserve"> 9</w:t>
      </w:r>
      <w:r w:rsidR="00010C77">
        <w:rPr>
          <w:rFonts w:ascii="Times New Roman" w:hAnsi="Times New Roman" w:cs="Times New Roman"/>
          <w:i/>
        </w:rPr>
        <w:t xml:space="preserve"> </w:t>
      </w:r>
      <w:r w:rsidRPr="00747435">
        <w:rPr>
          <w:rFonts w:ascii="Times New Roman" w:hAnsi="Times New Roman" w:cs="Times New Roman"/>
          <w:i/>
        </w:rPr>
        <w:t>Per questo infatti Cristo è morto ed è ritornato alla vita: per essere il Signore dei morti e dei vivi.</w:t>
      </w:r>
    </w:p>
    <w:p w14:paraId="7F435E32" w14:textId="77777777" w:rsidR="00747435" w:rsidRPr="00010C77" w:rsidRDefault="00747435" w:rsidP="00747435">
      <w:pPr>
        <w:jc w:val="both"/>
        <w:rPr>
          <w:rFonts w:ascii="Times New Roman" w:hAnsi="Times New Roman" w:cs="Times New Roman"/>
        </w:rPr>
      </w:pPr>
      <w:r w:rsidRPr="00747435">
        <w:rPr>
          <w:rFonts w:ascii="Times New Roman" w:hAnsi="Times New Roman" w:cs="Times New Roman"/>
          <w:i/>
        </w:rPr>
        <w:t>10</w:t>
      </w:r>
      <w:r w:rsidR="00010C77">
        <w:rPr>
          <w:rFonts w:ascii="Times New Roman" w:hAnsi="Times New Roman" w:cs="Times New Roman"/>
          <w:i/>
        </w:rPr>
        <w:t xml:space="preserve"> </w:t>
      </w:r>
      <w:r w:rsidRPr="00747435">
        <w:rPr>
          <w:rFonts w:ascii="Times New Roman" w:hAnsi="Times New Roman" w:cs="Times New Roman"/>
          <w:i/>
        </w:rPr>
        <w:t>Ma tu, perché giudichi il tuo fratello? E tu, perché disprezzi il tuo fratello? Tutti infatti ci presenteremo al tribunal</w:t>
      </w:r>
      <w:r>
        <w:rPr>
          <w:rFonts w:ascii="Times New Roman" w:hAnsi="Times New Roman" w:cs="Times New Roman"/>
          <w:i/>
        </w:rPr>
        <w:t>e di Dio, 11 perché sta scritto: ‘</w:t>
      </w:r>
      <w:r w:rsidRPr="00747435">
        <w:rPr>
          <w:rFonts w:ascii="Times New Roman" w:hAnsi="Times New Roman" w:cs="Times New Roman"/>
        </w:rPr>
        <w:t>Io vivo, dice il Signore: ogni ginocchio si piegherà davanti a me</w:t>
      </w:r>
      <w:r w:rsidR="00010C77">
        <w:rPr>
          <w:rFonts w:ascii="Times New Roman" w:hAnsi="Times New Roman" w:cs="Times New Roman"/>
        </w:rPr>
        <w:t xml:space="preserve"> </w:t>
      </w:r>
      <w:r w:rsidRPr="00747435">
        <w:rPr>
          <w:rFonts w:ascii="Times New Roman" w:hAnsi="Times New Roman" w:cs="Times New Roman"/>
        </w:rPr>
        <w:t>e og</w:t>
      </w:r>
      <w:r>
        <w:rPr>
          <w:rFonts w:ascii="Times New Roman" w:hAnsi="Times New Roman" w:cs="Times New Roman"/>
        </w:rPr>
        <w:t>ni lingua renderà gloria a Dio</w:t>
      </w:r>
      <w:r w:rsidRPr="00747435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(Is. 49,18; 45, 23) </w:t>
      </w:r>
      <w:r>
        <w:rPr>
          <w:rFonts w:ascii="Times New Roman" w:hAnsi="Times New Roman" w:cs="Times New Roman"/>
          <w:i/>
        </w:rPr>
        <w:t xml:space="preserve"> </w:t>
      </w:r>
      <w:r w:rsidRPr="00747435">
        <w:rPr>
          <w:rFonts w:ascii="Times New Roman" w:hAnsi="Times New Roman" w:cs="Times New Roman"/>
          <w:i/>
        </w:rPr>
        <w:t>12</w:t>
      </w:r>
      <w:r w:rsidR="00010C77">
        <w:rPr>
          <w:rFonts w:ascii="Times New Roman" w:hAnsi="Times New Roman" w:cs="Times New Roman"/>
          <w:i/>
        </w:rPr>
        <w:t xml:space="preserve"> </w:t>
      </w:r>
      <w:r w:rsidRPr="00747435">
        <w:rPr>
          <w:rFonts w:ascii="Times New Roman" w:hAnsi="Times New Roman" w:cs="Times New Roman"/>
          <w:i/>
        </w:rPr>
        <w:t>Quindi ciascuno di noi re</w:t>
      </w:r>
      <w:r>
        <w:rPr>
          <w:rFonts w:ascii="Times New Roman" w:hAnsi="Times New Roman" w:cs="Times New Roman"/>
          <w:i/>
        </w:rPr>
        <w:t xml:space="preserve">nderà conto di se stesso a Dio </w:t>
      </w:r>
      <w:r w:rsidRPr="00747435">
        <w:rPr>
          <w:rFonts w:ascii="Times New Roman" w:hAnsi="Times New Roman" w:cs="Times New Roman"/>
          <w:i/>
        </w:rPr>
        <w:t>13</w:t>
      </w:r>
      <w:r>
        <w:rPr>
          <w:rFonts w:ascii="Times New Roman" w:hAnsi="Times New Roman" w:cs="Times New Roman"/>
          <w:i/>
        </w:rPr>
        <w:t xml:space="preserve"> </w:t>
      </w:r>
      <w:r w:rsidRPr="00747435">
        <w:rPr>
          <w:rFonts w:ascii="Times New Roman" w:hAnsi="Times New Roman" w:cs="Times New Roman"/>
          <w:i/>
          <w:u w:val="single"/>
        </w:rPr>
        <w:t>D'ora in poi non giudichiamoci più gli uni gli altri</w:t>
      </w:r>
      <w:r w:rsidRPr="00747435">
        <w:rPr>
          <w:rFonts w:ascii="Times New Roman" w:hAnsi="Times New Roman" w:cs="Times New Roman"/>
          <w:i/>
        </w:rPr>
        <w:t>; piuttosto fate in modo di non essere causa di inciampo o di scandalo per il fratello.</w:t>
      </w:r>
    </w:p>
    <w:p w14:paraId="568191C8" w14:textId="77777777" w:rsidR="00747435" w:rsidRDefault="00747435" w:rsidP="00747435">
      <w:pPr>
        <w:jc w:val="both"/>
        <w:rPr>
          <w:rFonts w:ascii="Times New Roman" w:hAnsi="Times New Roman" w:cs="Times New Roman"/>
        </w:rPr>
      </w:pPr>
    </w:p>
    <w:p w14:paraId="43C29BF8" w14:textId="77777777" w:rsidR="00747435" w:rsidRDefault="00747435" w:rsidP="0074743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Esegesi.</w:t>
      </w:r>
    </w:p>
    <w:p w14:paraId="1BE64BAB" w14:textId="77777777" w:rsidR="008756A6" w:rsidRDefault="008756A6" w:rsidP="007474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Inizia, qui, un percorso per noi assolutamente inatteso rispetto al quale dobbiamo fare tre cose: capire, fin dove è possibile, di che si tratta; cogliere il pensiero centrale e il punto risolutivo del problema; cercare di applicare il ‘metodo’ appreso alla nostra attuale realtà. E’ quanto cercherò di fare in modo semplice e chiaro.</w:t>
      </w:r>
    </w:p>
    <w:p w14:paraId="6CF1990A" w14:textId="77777777" w:rsidR="008756A6" w:rsidRDefault="008756A6" w:rsidP="007474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Come ormai abbiamo imparato di fronte a un testo complesso si moltiplicano le ipotesi esplicative e le opinioni più diverse (a volte persino stravaganti). A tutto questo materiale molto interessante farò cenno solo per chiarire meglio il pensiero centrale di P. (e dunque nostro).</w:t>
      </w:r>
    </w:p>
    <w:p w14:paraId="0B88FE23" w14:textId="77777777" w:rsidR="008756A6" w:rsidRDefault="008756A6" w:rsidP="007474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si riferisce alla situazione della comunità di Roma e vuole, senza entrare troppo nei particolari di una comunità che non ha fondato e non conosce (cfr. lo stile diverso con cui interviene a Corinto su tematiche analoghe), </w:t>
      </w:r>
      <w:r w:rsidRPr="003D0546">
        <w:rPr>
          <w:rFonts w:ascii="Times New Roman" w:hAnsi="Times New Roman" w:cs="Times New Roman"/>
          <w:u w:val="single"/>
        </w:rPr>
        <w:t>richiamare, in concreto, il principio fondamentale dell’agape che è il fulcro della vita morale del cristiano</w:t>
      </w:r>
      <w:r>
        <w:rPr>
          <w:rFonts w:ascii="Times New Roman" w:hAnsi="Times New Roman" w:cs="Times New Roman"/>
        </w:rPr>
        <w:t>. Il riferimento non è tanto a condizioni sociali (ricchi/poveri, potenti/umili), ma ad abitudini alimentari e di celebrazioni di feste nel calendario. L’intero brano, che si conclude in</w:t>
      </w:r>
      <w:r w:rsidR="003D0546">
        <w:rPr>
          <w:rFonts w:ascii="Times New Roman" w:hAnsi="Times New Roman" w:cs="Times New Roman"/>
        </w:rPr>
        <w:t xml:space="preserve"> 15,6 è divisibile in tre sezioni che esprimono il ragionamento di P.: non bisogna giudicarsi a vicenda (14,1-13); nulla è impuro di per se e bisogna accogliersi con benevolenza perché l’</w:t>
      </w:r>
      <w:r w:rsidR="00010C77">
        <w:rPr>
          <w:rFonts w:ascii="Times New Roman" w:hAnsi="Times New Roman" w:cs="Times New Roman"/>
        </w:rPr>
        <w:t>unità della comunità vale</w:t>
      </w:r>
      <w:r w:rsidR="003D0546">
        <w:rPr>
          <w:rFonts w:ascii="Times New Roman" w:hAnsi="Times New Roman" w:cs="Times New Roman"/>
        </w:rPr>
        <w:t xml:space="preserve"> più dei giudizi di purità cultuale (14,14-23); tutto</w:t>
      </w:r>
      <w:r w:rsidR="00010C77">
        <w:rPr>
          <w:rFonts w:ascii="Times New Roman" w:hAnsi="Times New Roman" w:cs="Times New Roman"/>
        </w:rPr>
        <w:t xml:space="preserve"> va fatto a imitazione di C</w:t>
      </w:r>
      <w:r w:rsidR="003D0546">
        <w:rPr>
          <w:rFonts w:ascii="Times New Roman" w:hAnsi="Times New Roman" w:cs="Times New Roman"/>
        </w:rPr>
        <w:t>risto (15,1-6).</w:t>
      </w:r>
    </w:p>
    <w:p w14:paraId="218A2E9A" w14:textId="77777777" w:rsidR="003D0546" w:rsidRDefault="003D0546" w:rsidP="00747435">
      <w:pPr>
        <w:jc w:val="both"/>
        <w:rPr>
          <w:rFonts w:ascii="Times New Roman" w:hAnsi="Times New Roman" w:cs="Times New Roman"/>
          <w:i/>
        </w:rPr>
      </w:pPr>
      <w:r w:rsidRPr="003D0546">
        <w:rPr>
          <w:rFonts w:ascii="Times New Roman" w:hAnsi="Times New Roman" w:cs="Times New Roman"/>
          <w:i/>
        </w:rPr>
        <w:t>v.1. L’inizio è improvviso e non viene specificato, se non nel discorrere successivo, il riferimento alla situazione. Segno che era ben nota ai destinatari. P. si rivolge, di fatto, ai ‘forti nella fede’, i quali debbono accogliere i ‘deboli nella fede’</w:t>
      </w:r>
      <w:r w:rsidR="00010C77">
        <w:rPr>
          <w:rFonts w:ascii="Times New Roman" w:hAnsi="Times New Roman" w:cs="Times New Roman"/>
          <w:i/>
        </w:rPr>
        <w:t xml:space="preserve">. Molto si è scritto sulle </w:t>
      </w:r>
      <w:r w:rsidRPr="003D0546">
        <w:rPr>
          <w:rFonts w:ascii="Times New Roman" w:hAnsi="Times New Roman" w:cs="Times New Roman"/>
          <w:i/>
        </w:rPr>
        <w:t>categorie</w:t>
      </w:r>
      <w:r w:rsidR="00010C77">
        <w:rPr>
          <w:rFonts w:ascii="Times New Roman" w:hAnsi="Times New Roman" w:cs="Times New Roman"/>
          <w:i/>
        </w:rPr>
        <w:t xml:space="preserve"> socio-religiose</w:t>
      </w:r>
      <w:r w:rsidRPr="003D0546">
        <w:rPr>
          <w:rFonts w:ascii="Times New Roman" w:hAnsi="Times New Roman" w:cs="Times New Roman"/>
          <w:i/>
        </w:rPr>
        <w:t xml:space="preserve"> di appartenenza </w:t>
      </w:r>
      <w:r w:rsidR="00010C77">
        <w:rPr>
          <w:rFonts w:ascii="Times New Roman" w:hAnsi="Times New Roman" w:cs="Times New Roman"/>
          <w:i/>
        </w:rPr>
        <w:t>dei</w:t>
      </w:r>
      <w:r w:rsidRPr="003D0546">
        <w:rPr>
          <w:rFonts w:ascii="Times New Roman" w:hAnsi="Times New Roman" w:cs="Times New Roman"/>
          <w:i/>
        </w:rPr>
        <w:t xml:space="preserve"> ‘deboli’ e </w:t>
      </w:r>
      <w:r w:rsidR="00010C77">
        <w:rPr>
          <w:rFonts w:ascii="Times New Roman" w:hAnsi="Times New Roman" w:cs="Times New Roman"/>
          <w:i/>
        </w:rPr>
        <w:t xml:space="preserve">dei </w:t>
      </w:r>
      <w:r w:rsidRPr="003D0546">
        <w:rPr>
          <w:rFonts w:ascii="Times New Roman" w:hAnsi="Times New Roman" w:cs="Times New Roman"/>
          <w:i/>
        </w:rPr>
        <w:t>‘forti’</w:t>
      </w:r>
      <w:r w:rsidR="00010C77">
        <w:rPr>
          <w:rFonts w:ascii="Times New Roman" w:hAnsi="Times New Roman" w:cs="Times New Roman"/>
          <w:i/>
        </w:rPr>
        <w:t xml:space="preserve">; in realtà </w:t>
      </w:r>
      <w:r w:rsidRPr="003D0546">
        <w:rPr>
          <w:rFonts w:ascii="Times New Roman" w:hAnsi="Times New Roman" w:cs="Times New Roman"/>
          <w:i/>
        </w:rPr>
        <w:t>sono categorie trasversali che riguardano, pur con usi diversi, sia i giudeo-cristiani che i cristiani provenienti dal paganesimo.</w:t>
      </w:r>
      <w:r w:rsidR="00F45DB7">
        <w:rPr>
          <w:rFonts w:ascii="Times New Roman" w:hAnsi="Times New Roman" w:cs="Times New Roman"/>
          <w:i/>
        </w:rPr>
        <w:t xml:space="preserve"> ‘Accogliete’: il verbo usato ha il significato di ‘assumere, prendere con sé, associare a sé’. ‘Senza discutere’</w:t>
      </w:r>
      <w:r w:rsidR="00C73A49">
        <w:rPr>
          <w:rFonts w:ascii="Times New Roman" w:hAnsi="Times New Roman" w:cs="Times New Roman"/>
          <w:i/>
        </w:rPr>
        <w:t>: i</w:t>
      </w:r>
      <w:r w:rsidR="00F45DB7">
        <w:rPr>
          <w:rFonts w:ascii="Times New Roman" w:hAnsi="Times New Roman" w:cs="Times New Roman"/>
          <w:i/>
        </w:rPr>
        <w:t>l senso è esattamente il negativo rispetto al positivo appena espresso.</w:t>
      </w:r>
    </w:p>
    <w:p w14:paraId="4D2A9207" w14:textId="77777777" w:rsidR="00F45DB7" w:rsidRDefault="00F45DB7" w:rsidP="0074743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v.2. Chiarisce l’oggetto della contesa. Ce ne saranno alt</w:t>
      </w:r>
      <w:r w:rsidR="00C73A49">
        <w:rPr>
          <w:rFonts w:ascii="Times New Roman" w:hAnsi="Times New Roman" w:cs="Times New Roman"/>
          <w:i/>
        </w:rPr>
        <w:t>ri</w:t>
      </w:r>
      <w:r>
        <w:rPr>
          <w:rFonts w:ascii="Times New Roman" w:hAnsi="Times New Roman" w:cs="Times New Roman"/>
          <w:i/>
        </w:rPr>
        <w:t xml:space="preserve"> due: circa il calendario </w:t>
      </w:r>
      <w:r w:rsidR="00030981">
        <w:rPr>
          <w:rFonts w:ascii="Times New Roman" w:hAnsi="Times New Roman" w:cs="Times New Roman"/>
          <w:i/>
        </w:rPr>
        <w:t>(v.5) e il bere vino (v.21).</w:t>
      </w:r>
    </w:p>
    <w:p w14:paraId="7530E657" w14:textId="77777777" w:rsidR="00030981" w:rsidRDefault="00030981" w:rsidP="0074743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Per P. l’ascetismo in </w:t>
      </w:r>
      <w:r w:rsidR="00901A96">
        <w:rPr>
          <w:rFonts w:ascii="Times New Roman" w:hAnsi="Times New Roman" w:cs="Times New Roman"/>
          <w:i/>
        </w:rPr>
        <w:t xml:space="preserve">se </w:t>
      </w:r>
      <w:r>
        <w:rPr>
          <w:rFonts w:ascii="Times New Roman" w:hAnsi="Times New Roman" w:cs="Times New Roman"/>
          <w:i/>
        </w:rPr>
        <w:t>stesso è inteso come una ‘fede debole’.</w:t>
      </w:r>
    </w:p>
    <w:p w14:paraId="7001829A" w14:textId="77777777" w:rsidR="00030981" w:rsidRDefault="00030981" w:rsidP="0074743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v.4. L’intervento è chiaro e forte. Notare che il termine usato da P. e qui tradotto con ‘servo’ signi</w:t>
      </w:r>
      <w:r w:rsidR="00010C77">
        <w:rPr>
          <w:rFonts w:ascii="Times New Roman" w:hAnsi="Times New Roman" w:cs="Times New Roman"/>
          <w:i/>
        </w:rPr>
        <w:t>fica propria</w:t>
      </w:r>
      <w:r>
        <w:rPr>
          <w:rFonts w:ascii="Times New Roman" w:hAnsi="Times New Roman" w:cs="Times New Roman"/>
          <w:i/>
        </w:rPr>
        <w:t>mente ‘domestico’ e non servo o schiavo, quindi uno che, in qualche modo, fa parte della casa. Attutisce ogni riferimento che potrebbe essere umiliante.</w:t>
      </w:r>
    </w:p>
    <w:p w14:paraId="04FC3679" w14:textId="77777777" w:rsidR="00030981" w:rsidRDefault="00030981" w:rsidP="0074743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v.6. Le differenze che dividono la comunità si appianano solo se viste in riferimento al Signore. Si pu</w:t>
      </w:r>
      <w:r w:rsidR="00010C77">
        <w:rPr>
          <w:rFonts w:ascii="Times New Roman" w:hAnsi="Times New Roman" w:cs="Times New Roman"/>
          <w:i/>
        </w:rPr>
        <w:t>ò forse</w:t>
      </w:r>
      <w:r>
        <w:rPr>
          <w:rFonts w:ascii="Times New Roman" w:hAnsi="Times New Roman" w:cs="Times New Roman"/>
          <w:i/>
        </w:rPr>
        <w:t xml:space="preserve">  vedere anche un piccolo accenno all’Eucaristia nel ‘rendere grazie a Dio’ (il verbo è lo stesso).</w:t>
      </w:r>
    </w:p>
    <w:p w14:paraId="5AC2826B" w14:textId="77777777" w:rsidR="00030981" w:rsidRDefault="00030981" w:rsidP="0074743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vv.7-9.</w:t>
      </w:r>
      <w:r w:rsidR="00010C77">
        <w:rPr>
          <w:rFonts w:ascii="Times New Roman" w:hAnsi="Times New Roman" w:cs="Times New Roman"/>
          <w:i/>
        </w:rPr>
        <w:t xml:space="preserve"> Si staccano dal tema concreto in questione e, in termini molti belli e profondi, tracciano la fisionomia del cristiano come completamente innestata su Gesù. Ne nasce una antropologia che ha alla base l’agape.</w:t>
      </w:r>
    </w:p>
    <w:p w14:paraId="73122121" w14:textId="77777777" w:rsidR="00010C77" w:rsidRDefault="00010C77" w:rsidP="0074743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v.10-12. Ritorna al tema partendo proprio dall’unica signoria di Cristo proposta nel versetto precedente. Non devi giudicare tuo fratello perché insieme sarete giudicati dal Signore.</w:t>
      </w:r>
    </w:p>
    <w:p w14:paraId="198DDC29" w14:textId="77777777" w:rsidR="00010C77" w:rsidRPr="003D0546" w:rsidRDefault="00010C77" w:rsidP="0074743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v.1. E’ la conclusione finale che chiude chiaramente il primo ‘passo’ del ragionamento di P.</w:t>
      </w:r>
    </w:p>
    <w:p w14:paraId="7243DD65" w14:textId="77777777" w:rsidR="00747435" w:rsidRDefault="00747435" w:rsidP="00747435">
      <w:pPr>
        <w:jc w:val="both"/>
        <w:rPr>
          <w:rFonts w:ascii="Times New Roman" w:hAnsi="Times New Roman" w:cs="Times New Roman"/>
          <w:b/>
        </w:rPr>
      </w:pPr>
    </w:p>
    <w:p w14:paraId="309156FD" w14:textId="77777777" w:rsidR="00747435" w:rsidRDefault="00747435" w:rsidP="0074743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Meditazione.</w:t>
      </w:r>
    </w:p>
    <w:p w14:paraId="52C305F2" w14:textId="77777777" w:rsidR="00901A96" w:rsidRDefault="00901A96" w:rsidP="007474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testo di P. non è facile non tanto perché non si comprende il suo significato quanto perché proprio questo significato a noi dic</w:t>
      </w:r>
      <w:r w:rsidR="00C525D9">
        <w:rPr>
          <w:rFonts w:ascii="Times New Roman" w:hAnsi="Times New Roman" w:cs="Times New Roman"/>
        </w:rPr>
        <w:t xml:space="preserve">e ben poco, discutere di cibi, di </w:t>
      </w:r>
      <w:r>
        <w:rPr>
          <w:rFonts w:ascii="Times New Roman" w:hAnsi="Times New Roman" w:cs="Times New Roman"/>
        </w:rPr>
        <w:t>bevande o di feste del calendario non ci sembrano temi importanti. Eppure esattamente su questo è bene fermarsi un attimo: oggi di cosa potremmo parlare? Non cer</w:t>
      </w:r>
      <w:r w:rsidR="00C525D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o di vegetariani, vegani</w:t>
      </w:r>
      <w:r w:rsidR="00C525D9">
        <w:rPr>
          <w:rFonts w:ascii="Times New Roman" w:hAnsi="Times New Roman" w:cs="Times New Roman"/>
        </w:rPr>
        <w:t xml:space="preserve"> ed altre scelte</w:t>
      </w:r>
      <w:r>
        <w:rPr>
          <w:rFonts w:ascii="Times New Roman" w:hAnsi="Times New Roman" w:cs="Times New Roman"/>
        </w:rPr>
        <w:t xml:space="preserve"> simili, non perché non siano interessanti, ma perché ci sembrano del tutto</w:t>
      </w:r>
      <w:r w:rsidR="00C525D9">
        <w:rPr>
          <w:rFonts w:ascii="Times New Roman" w:hAnsi="Times New Roman" w:cs="Times New Roman"/>
        </w:rPr>
        <w:t xml:space="preserve"> secondari e non inerenti</w:t>
      </w:r>
      <w:r>
        <w:rPr>
          <w:rFonts w:ascii="Times New Roman" w:hAnsi="Times New Roman" w:cs="Times New Roman"/>
        </w:rPr>
        <w:t xml:space="preserve"> rispetto alla fede. Ma ci sono tante cose che non ci sembrerebbero così ‘strane’ e di cui non si parla</w:t>
      </w:r>
      <w:r w:rsidR="00C525D9">
        <w:rPr>
          <w:rFonts w:ascii="Times New Roman" w:hAnsi="Times New Roman" w:cs="Times New Roman"/>
        </w:rPr>
        <w:t xml:space="preserve"> comunque</w:t>
      </w:r>
      <w:r>
        <w:rPr>
          <w:rFonts w:ascii="Times New Roman" w:hAnsi="Times New Roman" w:cs="Times New Roman"/>
        </w:rPr>
        <w:t>: novene, celebrazioni di feste patronali, pratiche di culto popolare, di appa</w:t>
      </w:r>
      <w:r w:rsidR="00C525D9">
        <w:rPr>
          <w:rFonts w:ascii="Times New Roman" w:hAnsi="Times New Roman" w:cs="Times New Roman"/>
        </w:rPr>
        <w:t>rizioni</w:t>
      </w:r>
      <w:r>
        <w:rPr>
          <w:rFonts w:ascii="Times New Roman" w:hAnsi="Times New Roman" w:cs="Times New Roman"/>
        </w:rPr>
        <w:t xml:space="preserve"> mariane, di usanze legate ai digiuni; alcuni si ritengono ‘forti nella fede’ perché sono segu</w:t>
      </w:r>
      <w:r w:rsidR="00C525D9">
        <w:rPr>
          <w:rFonts w:ascii="Times New Roman" w:hAnsi="Times New Roman" w:cs="Times New Roman"/>
        </w:rPr>
        <w:t>aci di una spiritualità speciale con un fondatore illustre</w:t>
      </w:r>
      <w:r>
        <w:rPr>
          <w:rFonts w:ascii="Times New Roman" w:hAnsi="Times New Roman" w:cs="Times New Roman"/>
        </w:rPr>
        <w:t>, altri non hanno contatti con fratelli che giudicano ‘</w:t>
      </w:r>
      <w:r w:rsidR="00C525D9">
        <w:rPr>
          <w:rFonts w:ascii="Times New Roman" w:hAnsi="Times New Roman" w:cs="Times New Roman"/>
        </w:rPr>
        <w:t xml:space="preserve">troppo </w:t>
      </w:r>
      <w:r>
        <w:rPr>
          <w:rFonts w:ascii="Times New Roman" w:hAnsi="Times New Roman" w:cs="Times New Roman"/>
        </w:rPr>
        <w:t xml:space="preserve">conservatori’ </w:t>
      </w:r>
      <w:r w:rsidR="00C525D9">
        <w:rPr>
          <w:rFonts w:ascii="Times New Roman" w:hAnsi="Times New Roman" w:cs="Times New Roman"/>
        </w:rPr>
        <w:t>o ‘troppo progressisti’. L’elenco è interminabile; ma così il tessuto ecclesiale è spaccato e rissoso molto di più che ai tempi di P. Non ci sono luoghi veri di confronto: ognuno fa per conto suo e, al più</w:t>
      </w:r>
      <w:r w:rsidR="00A320F2">
        <w:rPr>
          <w:rFonts w:ascii="Times New Roman" w:hAnsi="Times New Roman" w:cs="Times New Roman"/>
        </w:rPr>
        <w:t>,</w:t>
      </w:r>
      <w:r w:rsidR="00C525D9">
        <w:rPr>
          <w:rFonts w:ascii="Times New Roman" w:hAnsi="Times New Roman" w:cs="Times New Roman"/>
        </w:rPr>
        <w:t xml:space="preserve"> si alimenta il pettegolezzo. Ma la Parola di Dio è perentoria: ‘Non giudichiamoci più gli uni gli altri’.</w:t>
      </w:r>
    </w:p>
    <w:p w14:paraId="1EC7ED2F" w14:textId="77777777" w:rsidR="00C525D9" w:rsidRDefault="00C525D9" w:rsidP="007474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lo dice P. il quale non fa mistero di essere convinto che i ‘forti’ nella fede hanno ragione. Ma perché? Perché il suo criterio guarda alle persone e non al percorso </w:t>
      </w:r>
      <w:r w:rsidR="00AC61F6">
        <w:rPr>
          <w:rFonts w:ascii="Times New Roman" w:hAnsi="Times New Roman" w:cs="Times New Roman"/>
        </w:rPr>
        <w:t xml:space="preserve">di fede </w:t>
      </w:r>
      <w:r>
        <w:rPr>
          <w:rFonts w:ascii="Times New Roman" w:hAnsi="Times New Roman" w:cs="Times New Roman"/>
        </w:rPr>
        <w:t xml:space="preserve">che hanno fatto. Deboli e forti sono parole che in questo contesto non hanno un significato né morale </w:t>
      </w:r>
      <w:commentRangeStart w:id="0"/>
      <w:r>
        <w:rPr>
          <w:rFonts w:ascii="Times New Roman" w:hAnsi="Times New Roman" w:cs="Times New Roman"/>
        </w:rPr>
        <w:t>né</w:t>
      </w:r>
      <w:commentRangeEnd w:id="0"/>
      <w:r>
        <w:rPr>
          <w:rStyle w:val="Rimandocommento"/>
        </w:rPr>
        <w:commentReference w:id="0"/>
      </w:r>
      <w:r>
        <w:rPr>
          <w:rFonts w:ascii="Times New Roman" w:hAnsi="Times New Roman" w:cs="Times New Roman"/>
        </w:rPr>
        <w:t xml:space="preserve"> di inferiorità o superiorità: di questo, eventualmente, si ne parlerà dopo</w:t>
      </w:r>
      <w:r w:rsidR="00AC61F6">
        <w:rPr>
          <w:rFonts w:ascii="Times New Roman" w:hAnsi="Times New Roman" w:cs="Times New Roman"/>
        </w:rPr>
        <w:t>. P. ha davanti a sé</w:t>
      </w:r>
      <w:r>
        <w:rPr>
          <w:rFonts w:ascii="Times New Roman" w:hAnsi="Times New Roman" w:cs="Times New Roman"/>
        </w:rPr>
        <w:t xml:space="preserve"> la giustizia di Dio in Cristo Gesù, per cui non conta più il mangiare questo o quello, beve o non bere vino </w:t>
      </w:r>
      <w:r w:rsidR="00AC61F6">
        <w:rPr>
          <w:rFonts w:ascii="Times New Roman" w:hAnsi="Times New Roman" w:cs="Times New Roman"/>
        </w:rPr>
        <w:t>perché</w:t>
      </w:r>
      <w:r>
        <w:rPr>
          <w:rFonts w:ascii="Times New Roman" w:hAnsi="Times New Roman" w:cs="Times New Roman"/>
        </w:rPr>
        <w:t xml:space="preserve"> il problema è un altro: nessuna di queste pratiche, anche quelle giuste, hanno la possibilità di ottenere la giustizia. Tu non devi dire ‘chi è il migliore’ (tanto meno puoi dirlo di te), ma devi sapere che la prima cosa da fare non è giudicare la ‘purezza teologica’ del pensiero di un fratello ma di riconoscerlo come tale e vivere con lui l’agape che ha salvato sia te che lui.</w:t>
      </w:r>
    </w:p>
    <w:p w14:paraId="76E2D67F" w14:textId="77777777" w:rsidR="00AC61F6" w:rsidRDefault="00AC61F6" w:rsidP="007474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Siamo onesti: non siamo stati educati a vivere in questo modo la vita cristiana e in particolare la vita ecclesiale. Sembrerebbe che un problema del genere riguardi soprattutto il clero; è vero: i preti, per formazione e per convinzione profon</w:t>
      </w:r>
      <w:r w:rsidR="00A320F2">
        <w:rPr>
          <w:rFonts w:ascii="Times New Roman" w:hAnsi="Times New Roman" w:cs="Times New Roman"/>
        </w:rPr>
        <w:t>da, si riteng</w:t>
      </w:r>
      <w:r>
        <w:rPr>
          <w:rFonts w:ascii="Times New Roman" w:hAnsi="Times New Roman" w:cs="Times New Roman"/>
        </w:rPr>
        <w:t>ono i rappresentanti ‘ufficiali’ della Chiesa, ma l’attitudine al giudizio sulle sorelle e sui fratelli io lo trovo più diffuso tra i battezzati non preti (quelli che, con molta approssimazione, vengono chiamati laici). Magari questi giudizi non riguardano dire</w:t>
      </w:r>
      <w:r w:rsidR="00A320F2">
        <w:rPr>
          <w:rFonts w:ascii="Times New Roman" w:hAnsi="Times New Roman" w:cs="Times New Roman"/>
        </w:rPr>
        <w:t>ttamente la fede, ma con le fede</w:t>
      </w:r>
      <w:r>
        <w:rPr>
          <w:rFonts w:ascii="Times New Roman" w:hAnsi="Times New Roman" w:cs="Times New Roman"/>
        </w:rPr>
        <w:t xml:space="preserve"> hanno un legame perché creano nella comunità malumori, diffidenze, delazioni, pettegolezzi, favoritismi, condanne, esclusi</w:t>
      </w:r>
      <w:r w:rsidR="00A320F2">
        <w:rPr>
          <w:rFonts w:ascii="Times New Roman" w:hAnsi="Times New Roman" w:cs="Times New Roman"/>
        </w:rPr>
        <w:t>oni.</w:t>
      </w:r>
      <w:r>
        <w:rPr>
          <w:rFonts w:ascii="Times New Roman" w:hAnsi="Times New Roman" w:cs="Times New Roman"/>
        </w:rPr>
        <w:t xml:space="preserve"> Faccio solo un esempio e neppure il più importante. Un cristiano politicamente ‘di destra’ non sopporta un fratello di sinistra e fa di tutto per eleminarlo e viceversa. Succede, ed è ‘banale’ come parlare di cibi e bevande, </w:t>
      </w:r>
      <w:r w:rsidR="00A320F2">
        <w:rPr>
          <w:rFonts w:ascii="Times New Roman" w:hAnsi="Times New Roman" w:cs="Times New Roman"/>
        </w:rPr>
        <w:t>che sia la politica (</w:t>
      </w:r>
      <w:r>
        <w:rPr>
          <w:rFonts w:ascii="Times New Roman" w:hAnsi="Times New Roman" w:cs="Times New Roman"/>
        </w:rPr>
        <w:t>marginale rispetto alla giustizia di Dio)</w:t>
      </w:r>
      <w:r w:rsidR="00366CD9">
        <w:rPr>
          <w:rFonts w:ascii="Times New Roman" w:hAnsi="Times New Roman" w:cs="Times New Roman"/>
        </w:rPr>
        <w:t xml:space="preserve"> a giudicare della fede e non  la fede a giudicare della politica.</w:t>
      </w:r>
    </w:p>
    <w:p w14:paraId="774BCFB4" w14:textId="77777777" w:rsidR="00366CD9" w:rsidRDefault="00366CD9" w:rsidP="007474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 si pone un problema che io mi aspettavo di trovare in P. e che lui non si pone neppure ed è quello del comportamento di chi ha ragione rispetto a colui che ha torto. Se io so che è sbagliato osservare il ‘calendario’ perché è segno di una fede ‘debole’ (penso a centinaia di pratiche ascetiche), non devo dir niente? Non posso fare di tutto per far cambiare idea? Oppure non posso semplicemente dire che i</w:t>
      </w:r>
      <w:r w:rsidR="00A320F2">
        <w:rPr>
          <w:rFonts w:ascii="Times New Roman" w:hAnsi="Times New Roman" w:cs="Times New Roman"/>
        </w:rPr>
        <w:t xml:space="preserve">o ho ragione e che tu sbagli? Penso </w:t>
      </w:r>
      <w:r>
        <w:rPr>
          <w:rFonts w:ascii="Times New Roman" w:hAnsi="Times New Roman" w:cs="Times New Roman"/>
        </w:rPr>
        <w:t xml:space="preserve">che P. </w:t>
      </w:r>
      <w:r w:rsidR="00A320F2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voglia togliere la distinzione tra giusto e ingiusto circa la fede, ma che ci voglia dire che ognuno va rispettato e accolto nel suo percorso anche quando non è condivisibile: il primato non è della verità, ma è della carità.</w:t>
      </w:r>
    </w:p>
    <w:p w14:paraId="326C191D" w14:textId="77777777" w:rsidR="00366CD9" w:rsidRPr="00366CD9" w:rsidRDefault="00366CD9" w:rsidP="007474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me questo discorso è duro e faccio fatica ad accettarlo ma mi rendo </w:t>
      </w:r>
      <w:r w:rsidR="00A320F2">
        <w:rPr>
          <w:rFonts w:ascii="Times New Roman" w:hAnsi="Times New Roman" w:cs="Times New Roman"/>
        </w:rPr>
        <w:t xml:space="preserve">sempre più conto </w:t>
      </w:r>
      <w:r>
        <w:rPr>
          <w:rFonts w:ascii="Times New Roman" w:hAnsi="Times New Roman" w:cs="Times New Roman"/>
        </w:rPr>
        <w:t xml:space="preserve">che debbo cambiare atteggiamento; nel mio modo di fare </w:t>
      </w:r>
      <w:r w:rsidR="00A320F2">
        <w:rPr>
          <w:rFonts w:ascii="Times New Roman" w:hAnsi="Times New Roman" w:cs="Times New Roman"/>
        </w:rPr>
        <w:t>dev</w:t>
      </w:r>
      <w:r>
        <w:rPr>
          <w:rFonts w:ascii="Times New Roman" w:hAnsi="Times New Roman" w:cs="Times New Roman"/>
        </w:rPr>
        <w:t>o invertire le priorità: prima la carità, cioè le persone e poi le idee ed anche la teologia. Mi sembra, e lo vedremo meglio più avanti, che P. indichi un criterio assoluto che non toglie nulla alla necessità di una fede ‘forte’</w:t>
      </w:r>
      <w:r w:rsidR="00A320F2">
        <w:rPr>
          <w:rFonts w:ascii="Times New Roman" w:hAnsi="Times New Roman" w:cs="Times New Roman"/>
        </w:rPr>
        <w:t>, ma proprio</w:t>
      </w:r>
      <w:r>
        <w:rPr>
          <w:rFonts w:ascii="Times New Roman" w:hAnsi="Times New Roman" w:cs="Times New Roman"/>
        </w:rPr>
        <w:t xml:space="preserve"> la ‘fortezza della fede’</w:t>
      </w:r>
      <w:r w:rsidR="00A320F2">
        <w:rPr>
          <w:rFonts w:ascii="Times New Roman" w:hAnsi="Times New Roman" w:cs="Times New Roman"/>
        </w:rPr>
        <w:t xml:space="preserve"> è misurabile ne</w:t>
      </w:r>
      <w:r>
        <w:rPr>
          <w:rFonts w:ascii="Times New Roman" w:hAnsi="Times New Roman" w:cs="Times New Roman"/>
        </w:rPr>
        <w:t xml:space="preserve">lla capacità di ‘far entrare i deboli’ nella comunità. La carità non è più tale se da inclusiva diventa esclusiva. Molto complicato ai tempi di P. </w:t>
      </w:r>
      <w:r w:rsidR="00A320F2">
        <w:rPr>
          <w:rFonts w:ascii="Times New Roman" w:hAnsi="Times New Roman" w:cs="Times New Roman"/>
        </w:rPr>
        <w:t xml:space="preserve">; ancora più complicato oggi rispetto ad </w:t>
      </w:r>
      <w:bookmarkStart w:id="1" w:name="_GoBack"/>
      <w:bookmarkEnd w:id="1"/>
      <w:r>
        <w:rPr>
          <w:rFonts w:ascii="Times New Roman" w:hAnsi="Times New Roman" w:cs="Times New Roman"/>
        </w:rPr>
        <w:t>allora. Che lo Spirito, che è Amore e Grazia, ci illumini e ci aiuti.</w:t>
      </w:r>
    </w:p>
    <w:sectPr w:rsidR="00366CD9" w:rsidRPr="00366C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on Lugi Galli" w:date="2016-08-27T17:15:00Z" w:initials="dLG">
    <w:p w14:paraId="52F62000" w14:textId="77777777" w:rsidR="00C525D9" w:rsidRDefault="00C525D9">
      <w:pPr>
        <w:pStyle w:val="Testocommento"/>
      </w:pPr>
      <w:r>
        <w:rPr>
          <w:rStyle w:val="Rimandocommento"/>
        </w:rPr>
        <w:annotationRef/>
      </w:r>
      <w:r>
        <w:rPr>
          <w:rStyle w:val="Rimandocommento"/>
        </w:rPr>
        <w:t>tualem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F6200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B3D49" w14:textId="77777777" w:rsidR="00897C5A" w:rsidRDefault="00897C5A" w:rsidP="00747435">
      <w:r>
        <w:separator/>
      </w:r>
    </w:p>
  </w:endnote>
  <w:endnote w:type="continuationSeparator" w:id="0">
    <w:p w14:paraId="48FB3106" w14:textId="77777777" w:rsidR="00897C5A" w:rsidRDefault="00897C5A" w:rsidP="0074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149CE" w14:textId="77777777" w:rsidR="00897C5A" w:rsidRDefault="00897C5A" w:rsidP="00747435">
      <w:r>
        <w:separator/>
      </w:r>
    </w:p>
  </w:footnote>
  <w:footnote w:type="continuationSeparator" w:id="0">
    <w:p w14:paraId="5850CFB9" w14:textId="77777777" w:rsidR="00897C5A" w:rsidRDefault="00897C5A" w:rsidP="0074743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n Lugi Galli">
    <w15:presenceInfo w15:providerId="Windows Live" w15:userId="e31a66827d4724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35"/>
    <w:rsid w:val="00010C77"/>
    <w:rsid w:val="00030981"/>
    <w:rsid w:val="00146BEB"/>
    <w:rsid w:val="00366CD9"/>
    <w:rsid w:val="003D0546"/>
    <w:rsid w:val="00537E51"/>
    <w:rsid w:val="00747435"/>
    <w:rsid w:val="008756A6"/>
    <w:rsid w:val="00884F6C"/>
    <w:rsid w:val="00897C5A"/>
    <w:rsid w:val="00901A96"/>
    <w:rsid w:val="00A320F2"/>
    <w:rsid w:val="00AC61F6"/>
    <w:rsid w:val="00C525D9"/>
    <w:rsid w:val="00C73A49"/>
    <w:rsid w:val="00F45DB7"/>
    <w:rsid w:val="00FD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FFC3"/>
  <w15:chartTrackingRefBased/>
  <w15:docId w15:val="{FACE0C31-B0A8-4FB7-B6B9-4EC54890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74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7435"/>
  </w:style>
  <w:style w:type="paragraph" w:styleId="Pidipagina">
    <w:name w:val="footer"/>
    <w:basedOn w:val="Normale"/>
    <w:link w:val="PidipaginaCarattere"/>
    <w:uiPriority w:val="99"/>
    <w:unhideWhenUsed/>
    <w:rsid w:val="007474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7435"/>
  </w:style>
  <w:style w:type="character" w:styleId="Rimandocommento">
    <w:name w:val="annotation reference"/>
    <w:basedOn w:val="Carpredefinitoparagrafo"/>
    <w:uiPriority w:val="99"/>
    <w:semiHidden/>
    <w:unhideWhenUsed/>
    <w:rsid w:val="00C525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525D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25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25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25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25D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2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5</cp:revision>
  <dcterms:created xsi:type="dcterms:W3CDTF">2016-08-25T10:26:00Z</dcterms:created>
  <dcterms:modified xsi:type="dcterms:W3CDTF">2016-08-27T15:50:00Z</dcterms:modified>
</cp:coreProperties>
</file>